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D74E36" w:rsidP="008F15C8">
      <w:pPr>
        <w:rPr>
          <w:lang w:eastAsia="hr-HR"/>
        </w:rPr>
      </w:pPr>
      <w:r>
        <w:rPr>
          <w:lang w:eastAsia="hr-HR"/>
        </w:rPr>
        <w:t xml:space="preserve">                                  </w:t>
      </w:r>
      <w:r w:rsidR="00465D96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31B5202" wp14:editId="4A25C22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53515" cy="45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hr-HR"/>
        </w:rPr>
        <w:br w:type="textWrapping" w:clear="all"/>
      </w:r>
    </w:p>
    <w:p w:rsidR="00B77455" w:rsidRPr="00B77455" w:rsidRDefault="00B77455" w:rsidP="00B77455">
      <w:pPr>
        <w:rPr>
          <w:sz w:val="10"/>
          <w:szCs w:val="10"/>
        </w:rPr>
      </w:pPr>
    </w:p>
    <w:p w:rsidR="00B77455" w:rsidRPr="00F41591" w:rsidRDefault="00B77455" w:rsidP="00B77455">
      <w:r w:rsidRPr="00F41591">
        <w:t>OBJAVA ZA MEDIJE</w:t>
      </w:r>
    </w:p>
    <w:p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D67D" wp14:editId="247042C4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BD39E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527605" w:rsidRPr="00B9275B" w:rsidRDefault="00FE231E" w:rsidP="00527605">
      <w:pPr>
        <w:spacing w:before="120" w:after="120"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Potpisani sporazumi za sedam n</w:t>
      </w:r>
      <w:r w:rsidR="00B836D6">
        <w:rPr>
          <w:rFonts w:asciiTheme="minorHAnsi" w:hAnsiTheme="minorHAnsi"/>
          <w:color w:val="auto"/>
        </w:rPr>
        <w:t xml:space="preserve">ovih sunčanih elektrana </w:t>
      </w:r>
    </w:p>
    <w:p w:rsidR="00527605" w:rsidRPr="00F54A56" w:rsidRDefault="00B836D6" w:rsidP="00527605">
      <w:pPr>
        <w:spacing w:before="120" w:after="120" w:line="276" w:lineRule="auto"/>
        <w:rPr>
          <w:rFonts w:asciiTheme="minorHAnsi" w:hAnsiTheme="minorHAnsi"/>
          <w:color w:val="auto"/>
          <w:sz w:val="26"/>
          <w:szCs w:val="26"/>
        </w:rPr>
      </w:pPr>
      <w:r>
        <w:rPr>
          <w:rFonts w:asciiTheme="minorHAnsi" w:hAnsiTheme="minorHAnsi"/>
          <w:color w:val="auto"/>
          <w:sz w:val="26"/>
          <w:szCs w:val="26"/>
        </w:rPr>
        <w:t>HEP ĆE U SURADNJI JEDINICAMA LOKALNE SAMOUPRAVE</w:t>
      </w:r>
      <w:r w:rsidR="00527605" w:rsidRPr="00F54A56">
        <w:rPr>
          <w:rFonts w:asciiTheme="minorHAnsi" w:hAnsiTheme="minorHAnsi"/>
          <w:color w:val="auto"/>
          <w:sz w:val="26"/>
          <w:szCs w:val="26"/>
        </w:rPr>
        <w:t xml:space="preserve"> IZGRADITI</w:t>
      </w:r>
      <w:r w:rsidR="00527605">
        <w:rPr>
          <w:rFonts w:asciiTheme="minorHAnsi" w:hAnsiTheme="minorHAnsi"/>
          <w:color w:val="auto"/>
          <w:sz w:val="26"/>
          <w:szCs w:val="26"/>
        </w:rPr>
        <w:t xml:space="preserve"> NOVIH</w:t>
      </w:r>
      <w:r w:rsidR="00527605" w:rsidRPr="00F54A56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527605">
        <w:rPr>
          <w:rFonts w:asciiTheme="minorHAnsi" w:hAnsiTheme="minorHAnsi"/>
          <w:color w:val="auto"/>
          <w:sz w:val="26"/>
          <w:szCs w:val="26"/>
        </w:rPr>
        <w:t>60</w:t>
      </w:r>
      <w:r w:rsidR="00527605" w:rsidRPr="00F54A56">
        <w:rPr>
          <w:rFonts w:asciiTheme="minorHAnsi" w:hAnsiTheme="minorHAnsi"/>
          <w:color w:val="auto"/>
          <w:sz w:val="26"/>
          <w:szCs w:val="26"/>
        </w:rPr>
        <w:t xml:space="preserve"> MW SUNČANIH ELEKTRANA </w:t>
      </w:r>
    </w:p>
    <w:p w:rsidR="00527605" w:rsidRPr="00527605" w:rsidRDefault="00527605" w:rsidP="0052760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27605">
        <w:rPr>
          <w:rFonts w:asciiTheme="minorHAnsi" w:hAnsiTheme="minorHAnsi"/>
        </w:rPr>
        <w:t xml:space="preserve">Novih sedam sporazuma nastavak je suradnje s općinama i gradovima, s kojima je HEP 2019. i 2020. godine sklopio sporazume o razvoju 11 projekata sunčanih elektrana </w:t>
      </w:r>
    </w:p>
    <w:p w:rsidR="00527605" w:rsidRPr="00A24118" w:rsidRDefault="00527605" w:rsidP="00527605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Theme="minorHAnsi" w:hAnsiTheme="minorHAnsi"/>
        </w:rPr>
      </w:pPr>
      <w:r w:rsidRPr="00A24118">
        <w:rPr>
          <w:rFonts w:asciiTheme="minorHAnsi" w:hAnsiTheme="minorHAnsi"/>
        </w:rPr>
        <w:t xml:space="preserve">Ukupna vrijednost </w:t>
      </w:r>
      <w:r>
        <w:rPr>
          <w:rFonts w:asciiTheme="minorHAnsi" w:hAnsiTheme="minorHAnsi"/>
        </w:rPr>
        <w:t>18 sunčanih elektrana koje HE</w:t>
      </w:r>
      <w:r w:rsidR="00B836D6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 razvija</w:t>
      </w:r>
      <w:r w:rsidR="00B836D6">
        <w:rPr>
          <w:rFonts w:asciiTheme="minorHAnsi" w:hAnsiTheme="minorHAnsi"/>
        </w:rPr>
        <w:t xml:space="preserve"> na temelju sp</w:t>
      </w:r>
      <w:r w:rsidR="004B4B65">
        <w:rPr>
          <w:rFonts w:asciiTheme="minorHAnsi" w:hAnsiTheme="minorHAnsi"/>
        </w:rPr>
        <w:t>o</w:t>
      </w:r>
      <w:r w:rsidR="00B836D6">
        <w:rPr>
          <w:rFonts w:asciiTheme="minorHAnsi" w:hAnsiTheme="minorHAnsi"/>
        </w:rPr>
        <w:t>razuma o suradnji</w:t>
      </w:r>
      <w:r>
        <w:rPr>
          <w:rFonts w:asciiTheme="minorHAnsi" w:hAnsiTheme="minorHAnsi"/>
        </w:rPr>
        <w:t xml:space="preserve"> s općinama i gradovima iznosi 1,08 milijardi kuna </w:t>
      </w:r>
    </w:p>
    <w:p w:rsidR="00527605" w:rsidRPr="008430DD" w:rsidRDefault="00527605" w:rsidP="00527605">
      <w:pPr>
        <w:pStyle w:val="ListParagraph"/>
        <w:tabs>
          <w:tab w:val="left" w:pos="709"/>
        </w:tabs>
        <w:jc w:val="both"/>
        <w:rPr>
          <w:rFonts w:asciiTheme="minorHAnsi" w:hAnsiTheme="minorHAnsi"/>
        </w:rPr>
      </w:pPr>
    </w:p>
    <w:p w:rsidR="00527605" w:rsidRPr="00B9275B" w:rsidRDefault="00527605" w:rsidP="00527605">
      <w:pPr>
        <w:tabs>
          <w:tab w:val="left" w:pos="709"/>
        </w:tabs>
        <w:spacing w:after="120" w:line="276" w:lineRule="auto"/>
        <w:jc w:val="both"/>
        <w:rPr>
          <w:rFonts w:asciiTheme="minorHAnsi" w:hAnsiTheme="minorHAnsi"/>
          <w:bCs/>
          <w:iCs/>
          <w:color w:val="auto"/>
          <w:sz w:val="24"/>
          <w:szCs w:val="24"/>
        </w:rPr>
      </w:pPr>
      <w:r w:rsidRPr="009169DA">
        <w:rPr>
          <w:rFonts w:asciiTheme="minorHAnsi" w:hAnsiTheme="minorHAnsi"/>
          <w:b w:val="0"/>
          <w:color w:val="auto"/>
          <w:sz w:val="24"/>
          <w:szCs w:val="24"/>
        </w:rPr>
        <w:t>Zagreb, 11. listopada 202</w:t>
      </w:r>
      <w:r w:rsidR="00B836D6">
        <w:rPr>
          <w:rFonts w:asciiTheme="minorHAnsi" w:hAnsiTheme="minorHAnsi"/>
          <w:b w:val="0"/>
          <w:color w:val="auto"/>
          <w:sz w:val="24"/>
          <w:szCs w:val="24"/>
        </w:rPr>
        <w:t>1</w:t>
      </w:r>
      <w:r w:rsidRPr="009169DA">
        <w:rPr>
          <w:rFonts w:asciiTheme="minorHAnsi" w:hAnsiTheme="minorHAnsi"/>
          <w:b w:val="0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169DA">
        <w:rPr>
          <w:rFonts w:asciiTheme="minorHAnsi" w:hAnsiTheme="minorHAnsi"/>
          <w:b w:val="0"/>
          <w:color w:val="auto"/>
          <w:sz w:val="24"/>
          <w:szCs w:val="24"/>
        </w:rPr>
        <w:t>-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A24118">
        <w:rPr>
          <w:rFonts w:asciiTheme="minorHAnsi" w:hAnsiTheme="minorHAnsi"/>
          <w:color w:val="auto"/>
          <w:sz w:val="24"/>
          <w:szCs w:val="24"/>
        </w:rPr>
        <w:t>Na temelju</w:t>
      </w:r>
      <w:r>
        <w:rPr>
          <w:rFonts w:asciiTheme="minorHAnsi" w:hAnsiTheme="minorHAnsi"/>
          <w:color w:val="auto"/>
          <w:sz w:val="24"/>
          <w:szCs w:val="24"/>
        </w:rPr>
        <w:t xml:space="preserve"> javnog poziva </w:t>
      </w:r>
      <w:r w:rsidR="00FE231E">
        <w:rPr>
          <w:rFonts w:asciiTheme="minorHAnsi" w:hAnsiTheme="minorHAnsi"/>
          <w:color w:val="auto"/>
          <w:sz w:val="24"/>
          <w:szCs w:val="24"/>
        </w:rPr>
        <w:t xml:space="preserve">za iskaz interesa </w:t>
      </w:r>
      <w:r>
        <w:rPr>
          <w:rFonts w:asciiTheme="minorHAnsi" w:hAnsiTheme="minorHAnsi"/>
          <w:color w:val="auto"/>
          <w:sz w:val="24"/>
          <w:szCs w:val="24"/>
        </w:rPr>
        <w:t>za 2020</w:t>
      </w:r>
      <w:r w:rsidRPr="00A24118">
        <w:rPr>
          <w:rFonts w:asciiTheme="minorHAnsi" w:hAnsiTheme="minorHAnsi"/>
          <w:color w:val="auto"/>
          <w:sz w:val="24"/>
          <w:szCs w:val="24"/>
        </w:rPr>
        <w:t xml:space="preserve">. godinu, </w:t>
      </w:r>
      <w:r w:rsidRPr="008430DD">
        <w:rPr>
          <w:rFonts w:asciiTheme="minorHAnsi" w:hAnsiTheme="minorHAnsi"/>
          <w:color w:val="auto"/>
          <w:sz w:val="24"/>
          <w:szCs w:val="24"/>
        </w:rPr>
        <w:t xml:space="preserve">Hrvatska elektroprivreda </w:t>
      </w:r>
      <w:r w:rsidR="00FE231E">
        <w:rPr>
          <w:rFonts w:asciiTheme="minorHAnsi" w:hAnsiTheme="minorHAnsi"/>
          <w:color w:val="auto"/>
          <w:sz w:val="24"/>
          <w:szCs w:val="24"/>
        </w:rPr>
        <w:t>sklopila</w:t>
      </w:r>
      <w:r w:rsidRPr="008430DD">
        <w:rPr>
          <w:rFonts w:asciiTheme="minorHAnsi" w:hAnsiTheme="minorHAnsi"/>
          <w:color w:val="auto"/>
          <w:sz w:val="24"/>
          <w:szCs w:val="24"/>
        </w:rPr>
        <w:t xml:space="preserve"> je danas</w:t>
      </w:r>
      <w:r>
        <w:rPr>
          <w:rFonts w:asciiTheme="minorHAnsi" w:hAnsiTheme="minorHAnsi"/>
          <w:color w:val="auto"/>
          <w:sz w:val="24"/>
          <w:szCs w:val="24"/>
        </w:rPr>
        <w:t xml:space="preserve"> s</w:t>
      </w:r>
      <w:r w:rsidRPr="008430DD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4729DD">
        <w:rPr>
          <w:rFonts w:asciiTheme="minorHAnsi" w:hAnsiTheme="minorHAnsi"/>
          <w:color w:val="auto"/>
          <w:sz w:val="24"/>
          <w:szCs w:val="24"/>
        </w:rPr>
        <w:t>općina</w:t>
      </w:r>
      <w:r>
        <w:rPr>
          <w:rFonts w:asciiTheme="minorHAnsi" w:hAnsiTheme="minorHAnsi"/>
          <w:color w:val="auto"/>
          <w:sz w:val="24"/>
          <w:szCs w:val="24"/>
        </w:rPr>
        <w:t>ma</w:t>
      </w:r>
      <w:r w:rsidRPr="004729DD">
        <w:rPr>
          <w:rFonts w:asciiTheme="minorHAnsi" w:hAnsiTheme="minorHAnsi"/>
          <w:color w:val="auto"/>
          <w:sz w:val="24"/>
          <w:szCs w:val="24"/>
        </w:rPr>
        <w:t xml:space="preserve"> Vrpolje, Lovinac, </w:t>
      </w:r>
      <w:r>
        <w:rPr>
          <w:rFonts w:asciiTheme="minorHAnsi" w:hAnsiTheme="minorHAnsi"/>
          <w:color w:val="auto"/>
          <w:sz w:val="24"/>
          <w:szCs w:val="24"/>
        </w:rPr>
        <w:t>Orle, Zdenci, Satnica Đakovačka i</w:t>
      </w:r>
      <w:r w:rsidRPr="004729DD">
        <w:rPr>
          <w:rFonts w:asciiTheme="minorHAnsi" w:hAnsiTheme="minorHAnsi"/>
          <w:color w:val="auto"/>
          <w:sz w:val="24"/>
          <w:szCs w:val="24"/>
        </w:rPr>
        <w:t xml:space="preserve"> Trpinja te Grad</w:t>
      </w:r>
      <w:r>
        <w:rPr>
          <w:rFonts w:asciiTheme="minorHAnsi" w:hAnsiTheme="minorHAnsi"/>
          <w:color w:val="auto"/>
          <w:sz w:val="24"/>
          <w:szCs w:val="24"/>
        </w:rPr>
        <w:t>om</w:t>
      </w:r>
      <w:r w:rsidRPr="004729DD">
        <w:rPr>
          <w:rFonts w:asciiTheme="minorHAnsi" w:hAnsiTheme="minorHAnsi"/>
          <w:color w:val="auto"/>
          <w:sz w:val="24"/>
          <w:szCs w:val="24"/>
        </w:rPr>
        <w:t xml:space="preserve"> Valpov</w:t>
      </w:r>
      <w:r>
        <w:rPr>
          <w:rFonts w:asciiTheme="minorHAnsi" w:hAnsiTheme="minorHAnsi"/>
          <w:color w:val="auto"/>
          <w:sz w:val="24"/>
          <w:szCs w:val="24"/>
        </w:rPr>
        <w:t>om</w:t>
      </w:r>
      <w:r w:rsidRPr="004729DD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bCs/>
          <w:iCs/>
          <w:color w:val="auto"/>
          <w:sz w:val="24"/>
          <w:szCs w:val="24"/>
        </w:rPr>
        <w:t>sporazume</w:t>
      </w:r>
      <w:r w:rsidRPr="00B9275B">
        <w:rPr>
          <w:rFonts w:asciiTheme="minorHAnsi" w:hAnsiTheme="minorHAnsi"/>
          <w:bCs/>
          <w:iCs/>
          <w:color w:val="auto"/>
          <w:sz w:val="24"/>
          <w:szCs w:val="24"/>
        </w:rPr>
        <w:t xml:space="preserve"> o suradnji</w:t>
      </w:r>
      <w:r>
        <w:rPr>
          <w:rFonts w:asciiTheme="minorHAnsi" w:hAnsiTheme="minorHAnsi"/>
          <w:bCs/>
          <w:iCs/>
          <w:color w:val="auto"/>
          <w:sz w:val="24"/>
          <w:szCs w:val="24"/>
        </w:rPr>
        <w:t xml:space="preserve"> na razvoju projekata sunčanih elektrana. Ukupna snaga sedam sunčanih elektrana iznosi 60 M</w:t>
      </w:r>
      <w:r w:rsidR="00FE231E">
        <w:rPr>
          <w:rFonts w:asciiTheme="minorHAnsi" w:hAnsiTheme="minorHAnsi"/>
          <w:bCs/>
          <w:iCs/>
          <w:color w:val="auto"/>
          <w:sz w:val="24"/>
          <w:szCs w:val="24"/>
        </w:rPr>
        <w:t>W</w:t>
      </w:r>
      <w:r>
        <w:rPr>
          <w:rFonts w:asciiTheme="minorHAnsi" w:hAnsiTheme="minorHAnsi"/>
          <w:bCs/>
          <w:iCs/>
          <w:color w:val="auto"/>
          <w:sz w:val="24"/>
          <w:szCs w:val="24"/>
        </w:rPr>
        <w:t>, a procijenjena</w:t>
      </w:r>
      <w:r w:rsidRPr="00B9275B">
        <w:rPr>
          <w:rFonts w:asciiTheme="minorHAnsi" w:hAnsiTheme="minorHAnsi"/>
          <w:bCs/>
          <w:iCs/>
          <w:color w:val="auto"/>
          <w:sz w:val="24"/>
          <w:szCs w:val="24"/>
        </w:rPr>
        <w:t xml:space="preserve"> investicijsk</w:t>
      </w:r>
      <w:r>
        <w:rPr>
          <w:rFonts w:asciiTheme="minorHAnsi" w:hAnsiTheme="minorHAnsi"/>
          <w:bCs/>
          <w:iCs/>
          <w:color w:val="auto"/>
          <w:sz w:val="24"/>
          <w:szCs w:val="24"/>
        </w:rPr>
        <w:t>a</w:t>
      </w:r>
      <w:r w:rsidRPr="00B9275B">
        <w:rPr>
          <w:rFonts w:asciiTheme="minorHAnsi" w:hAnsiTheme="minorHAnsi"/>
          <w:bCs/>
          <w:iCs/>
          <w:color w:val="auto"/>
          <w:sz w:val="24"/>
          <w:szCs w:val="24"/>
        </w:rPr>
        <w:t xml:space="preserve"> vrijednosti </w:t>
      </w:r>
      <w:r>
        <w:rPr>
          <w:rFonts w:asciiTheme="minorHAnsi" w:hAnsiTheme="minorHAnsi"/>
          <w:bCs/>
          <w:iCs/>
          <w:color w:val="auto"/>
          <w:sz w:val="24"/>
          <w:szCs w:val="24"/>
        </w:rPr>
        <w:t>čak</w:t>
      </w:r>
      <w:r w:rsidRPr="00B9275B">
        <w:rPr>
          <w:rFonts w:asciiTheme="minorHAnsi" w:hAnsiTheme="minorHAnsi"/>
          <w:bCs/>
          <w:iCs/>
          <w:color w:val="auto"/>
          <w:sz w:val="24"/>
          <w:szCs w:val="24"/>
        </w:rPr>
        <w:t xml:space="preserve"> 380 milijuna kuna.</w:t>
      </w:r>
    </w:p>
    <w:p w:rsidR="00527605" w:rsidRPr="00D65B27" w:rsidRDefault="00527605" w:rsidP="00527605">
      <w:pPr>
        <w:tabs>
          <w:tab w:val="left" w:pos="709"/>
        </w:tabs>
        <w:spacing w:after="120" w:line="276" w:lineRule="auto"/>
        <w:jc w:val="both"/>
        <w:rPr>
          <w:rFonts w:asciiTheme="minorHAnsi" w:hAnsiTheme="minorHAnsi"/>
          <w:b w:val="0"/>
          <w:bCs/>
          <w:iCs/>
          <w:color w:val="auto"/>
          <w:sz w:val="24"/>
          <w:szCs w:val="24"/>
        </w:rPr>
      </w:pPr>
      <w:r w:rsidRPr="00D65B27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U nazočnosti ministra gospodarstva i održivog razvoja Tomislava Ćorića, sporazume s čelnicima </w:t>
      </w:r>
      <w:r w:rsidR="00FE231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jedinica lokalne samouprave </w:t>
      </w:r>
      <w:r w:rsidRPr="00D65B27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potpisao je predsjednik Uprave Hrvatske elektroprivrede Frane Barbarić. </w:t>
      </w:r>
    </w:p>
    <w:p w:rsidR="006D7877" w:rsidRPr="00782167" w:rsidRDefault="006D7877" w:rsidP="00527605">
      <w:pPr>
        <w:tabs>
          <w:tab w:val="left" w:pos="709"/>
        </w:tabs>
        <w:spacing w:after="120" w:line="276" w:lineRule="auto"/>
        <w:jc w:val="both"/>
        <w:rPr>
          <w:rFonts w:asciiTheme="minorHAnsi" w:hAnsiTheme="minorHAnsi"/>
          <w:b w:val="0"/>
          <w:bCs/>
          <w:iCs/>
          <w:color w:val="auto"/>
          <w:sz w:val="24"/>
          <w:szCs w:val="24"/>
        </w:rPr>
      </w:pPr>
      <w:r w:rsidRPr="006D7877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„</w:t>
      </w:r>
      <w:r w:rsidR="00782167" w:rsidRPr="00782167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 xml:space="preserve">Realizacija ovih projekata pokazuje kako se ideja dekarbonizacije provodi, ne samo u našoj najsnažnijoj energetskoj kompaniji, već i na razini lokalne samouprave koja je najpozvanija da u dekarbonizaciji vidi i priliku za vlastiti gospodarski rast. Sada je važno da se ubrza priprema dokumentacije, a zatim i sama izgradnja elektrana, kako bismo što prije ostvarili postavljene ciljeve“, </w:t>
      </w:r>
      <w:r w:rsidR="00782167" w:rsidRPr="00782167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izjavio je ministar gospodarstva i održivog razvoja Tomislav Ćorić.</w:t>
      </w:r>
      <w:r w:rsidR="00782167" w:rsidRPr="00782167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 xml:space="preserve"> </w:t>
      </w:r>
      <w:r w:rsidR="00782167" w:rsidRPr="00782167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Ministar je istaknuo i kako su s ciljem povećanja proizvodnje iz obnovljivih izvora energije, u okviru Nacionalnog plana za oporavak i otpornost predviđena znatna sredstva koja će se uložiti u dogradnju, modernizaciju i digitalizaciju elektroenergetskog sustava</w:t>
      </w:r>
      <w:r w:rsidRPr="00782167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.</w:t>
      </w:r>
    </w:p>
    <w:p w:rsidR="00527605" w:rsidRPr="007B476E" w:rsidRDefault="00527605" w:rsidP="00527605">
      <w:pPr>
        <w:tabs>
          <w:tab w:val="left" w:pos="709"/>
        </w:tabs>
        <w:spacing w:after="120" w:line="276" w:lineRule="auto"/>
        <w:jc w:val="both"/>
        <w:rPr>
          <w:rFonts w:asciiTheme="minorHAnsi" w:hAnsiTheme="minorHAnsi"/>
          <w:b w:val="0"/>
          <w:bCs/>
          <w:iCs/>
          <w:color w:val="auto"/>
          <w:sz w:val="24"/>
          <w:szCs w:val="24"/>
        </w:rPr>
      </w:pPr>
      <w:r w:rsidRPr="00D65B27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Novih sedam sporazuma nastavak je suradnje s općinama i gradovima, s kojima je HEP 2019. i 2020. godine sklopio sporazume o razvoju 11 projekata sunčanih elektrana. 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HEP tako na 18 izabranih lokacija na području šest gradova i 12 općina razvija projekte sunčanih elektrana ukupne priključne snage </w:t>
      </w:r>
      <w:r w:rsidRPr="007B476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168 MW 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te investicijske vrijednosti od 1,08 milijardi kuna. Očekivana godišnja proizvodnja budućih 18 sunčanih elektrana iznosi </w:t>
      </w:r>
      <w:r w:rsidRPr="007B476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242 </w:t>
      </w:r>
      <w:r w:rsidR="00FE231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milijuna kilovatsati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, </w:t>
      </w:r>
      <w:r w:rsidR="00FE231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čime se može zadovoljiti </w:t>
      </w:r>
      <w:r w:rsidRPr="007B476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potrošnj</w:t>
      </w:r>
      <w:r w:rsidR="00FE231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a</w:t>
      </w:r>
      <w:r w:rsidRPr="007B476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oko 65.000 kućanstava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.</w:t>
      </w:r>
    </w:p>
    <w:p w:rsidR="00B836D6" w:rsidRPr="007B476E" w:rsidRDefault="00B836D6" w:rsidP="00B836D6">
      <w:pPr>
        <w:spacing w:after="60" w:line="276" w:lineRule="auto"/>
        <w:jc w:val="both"/>
        <w:rPr>
          <w:rFonts w:asciiTheme="minorHAnsi" w:hAnsiTheme="minorHAnsi"/>
          <w:b w:val="0"/>
          <w:bCs/>
          <w:iCs/>
          <w:color w:val="auto"/>
          <w:sz w:val="24"/>
          <w:szCs w:val="24"/>
        </w:rPr>
      </w:pP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„</w:t>
      </w:r>
      <w:r w:rsidRPr="007B476E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 xml:space="preserve">Ovim  vidom suradnje obuhvatili smo više od polovice Hrvatske jer ćemo ukupno 18 projekata izvesti na području čak 12 županija. U razvojnoj strategiji za cilj smo postavili da ćemo do 2030. godine u sunčanim elektranama imati oko 350 megavata. Gotovo polovicu tog iznosa, čak 168 megavata, izgradit ćemo na temelju sporazuma s općinama i gradovima. Na taj način imamo </w:t>
      </w:r>
      <w:r w:rsidRPr="007B476E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lastRenderedPageBreak/>
        <w:t>priliku zajedno raditi</w:t>
      </w:r>
      <w:r w:rsidR="00FE231E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 xml:space="preserve"> na</w:t>
      </w:r>
      <w:r w:rsidRPr="007B476E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 xml:space="preserve"> jačanj</w:t>
      </w:r>
      <w:r w:rsidR="00FE231E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>u</w:t>
      </w:r>
      <w:r w:rsidRPr="007B476E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 xml:space="preserve"> gospodarskog i ukupnog razvoja lokalnih zajednica, a time i čitave Hrvatske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“, izjavio je Frane Barbarić, predsjednik Uprave Hrvatske elektroprivrede d.d.</w:t>
      </w:r>
    </w:p>
    <w:p w:rsidR="00AE056E" w:rsidRDefault="00B836D6" w:rsidP="00B836D6">
      <w:pPr>
        <w:spacing w:after="60" w:line="276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P</w:t>
      </w:r>
      <w:r w:rsidRPr="003E6D1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rema 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potpisanim sporazumima, općine</w:t>
      </w:r>
      <w:r w:rsidRPr="00B01A9F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Lovinac i Orle</w:t>
      </w:r>
      <w:r w:rsidRPr="003E6D1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projektnu dokumentaciju</w:t>
      </w:r>
      <w:r w:rsidR="00FE231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za sunčane elektrane planirane priključne snage 9,99 MW</w:t>
      </w:r>
      <w:r w:rsidRPr="003E6D1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priprema</w:t>
      </w:r>
      <w:r w:rsidR="00FE231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ju</w:t>
      </w:r>
      <w:r w:rsidRPr="00B01A9F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do ishođenja lokacijske dozvole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. Ostale </w:t>
      </w:r>
      <w:r w:rsidRPr="00B01A9F">
        <w:rPr>
          <w:rFonts w:asciiTheme="minorHAnsi" w:hAnsiTheme="minorHAnsi"/>
          <w:b w:val="0"/>
          <w:color w:val="auto"/>
          <w:sz w:val="24"/>
          <w:szCs w:val="24"/>
        </w:rPr>
        <w:t>jedinice lokalne samouprave</w:t>
      </w:r>
      <w:r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Pr="00B01A9F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b w:val="0"/>
          <w:color w:val="auto"/>
          <w:sz w:val="24"/>
          <w:szCs w:val="24"/>
        </w:rPr>
        <w:t>općine</w:t>
      </w:r>
      <w:r w:rsidRPr="00B01A9F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b w:val="0"/>
          <w:color w:val="auto"/>
          <w:sz w:val="24"/>
          <w:szCs w:val="24"/>
        </w:rPr>
        <w:t>Satnica Đakovačka</w:t>
      </w:r>
      <w:r w:rsidR="00FE231E">
        <w:rPr>
          <w:rFonts w:asciiTheme="minorHAnsi" w:hAnsiTheme="minorHAnsi"/>
          <w:b w:val="0"/>
          <w:color w:val="auto"/>
          <w:sz w:val="24"/>
          <w:szCs w:val="24"/>
        </w:rPr>
        <w:t xml:space="preserve"> (za elektranu priključne snage 15 MW</w:t>
      </w:r>
      <w:r w:rsidR="004B4B65">
        <w:rPr>
          <w:rFonts w:asciiTheme="minorHAnsi" w:hAnsiTheme="minorHAnsi"/>
          <w:b w:val="0"/>
          <w:color w:val="auto"/>
          <w:sz w:val="24"/>
          <w:szCs w:val="24"/>
        </w:rPr>
        <w:t>)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, </w:t>
      </w:r>
      <w:r w:rsidRPr="00527605">
        <w:rPr>
          <w:rFonts w:asciiTheme="minorHAnsi" w:hAnsiTheme="minorHAnsi"/>
          <w:b w:val="0"/>
          <w:color w:val="auto"/>
          <w:sz w:val="24"/>
          <w:szCs w:val="24"/>
        </w:rPr>
        <w:t>Vrpolje</w:t>
      </w:r>
      <w:r w:rsidR="00FE231E">
        <w:rPr>
          <w:rFonts w:asciiTheme="minorHAnsi" w:hAnsiTheme="minorHAnsi"/>
          <w:b w:val="0"/>
          <w:color w:val="auto"/>
          <w:sz w:val="24"/>
          <w:szCs w:val="24"/>
        </w:rPr>
        <w:t xml:space="preserve"> (4 MW)</w:t>
      </w:r>
      <w:r w:rsidRPr="00527605">
        <w:rPr>
          <w:rFonts w:asciiTheme="minorHAnsi" w:hAnsiTheme="minorHAnsi"/>
          <w:b w:val="0"/>
          <w:color w:val="auto"/>
          <w:sz w:val="24"/>
          <w:szCs w:val="24"/>
        </w:rPr>
        <w:t>, Zdenci</w:t>
      </w:r>
      <w:r w:rsidR="00CD0389">
        <w:rPr>
          <w:rFonts w:asciiTheme="minorHAnsi" w:hAnsiTheme="minorHAnsi"/>
          <w:b w:val="0"/>
          <w:color w:val="auto"/>
          <w:sz w:val="24"/>
          <w:szCs w:val="24"/>
        </w:rPr>
        <w:t xml:space="preserve"> (9,99 M</w:t>
      </w:r>
      <w:r w:rsidR="00FE231E">
        <w:rPr>
          <w:rFonts w:asciiTheme="minorHAnsi" w:hAnsiTheme="minorHAnsi"/>
          <w:b w:val="0"/>
          <w:color w:val="auto"/>
          <w:sz w:val="24"/>
          <w:szCs w:val="24"/>
        </w:rPr>
        <w:t>W)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i Trpinja</w:t>
      </w:r>
      <w:r w:rsidR="00FE231E">
        <w:rPr>
          <w:rFonts w:asciiTheme="minorHAnsi" w:hAnsiTheme="minorHAnsi"/>
          <w:b w:val="0"/>
          <w:color w:val="auto"/>
          <w:sz w:val="24"/>
          <w:szCs w:val="24"/>
        </w:rPr>
        <w:t xml:space="preserve"> (5 MW)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te Grad Valpovo</w:t>
      </w:r>
      <w:r w:rsidR="00FE231E">
        <w:rPr>
          <w:rFonts w:asciiTheme="minorHAnsi" w:hAnsiTheme="minorHAnsi"/>
          <w:b w:val="0"/>
          <w:color w:val="auto"/>
          <w:sz w:val="24"/>
          <w:szCs w:val="24"/>
        </w:rPr>
        <w:t xml:space="preserve"> (6 MW)</w:t>
      </w:r>
      <w:r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Pr="00B01A9F">
        <w:rPr>
          <w:rFonts w:asciiTheme="minorHAnsi" w:hAnsiTheme="minorHAnsi"/>
          <w:b w:val="0"/>
          <w:color w:val="auto"/>
          <w:sz w:val="24"/>
          <w:szCs w:val="24"/>
        </w:rPr>
        <w:t xml:space="preserve"> projektnu dokumentaciju pripremaju d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o ishođenja građevinske dozvole. </w:t>
      </w:r>
      <w:r w:rsidR="00AE056E">
        <w:rPr>
          <w:rFonts w:asciiTheme="minorHAnsi" w:hAnsiTheme="minorHAnsi"/>
          <w:b w:val="0"/>
          <w:color w:val="auto"/>
          <w:sz w:val="24"/>
          <w:szCs w:val="24"/>
        </w:rPr>
        <w:t>Po ishođenju dozvola, HEP će jedinicama lokalne samouprave nadoknaditi troškove izrade projektne dokumentacije.</w:t>
      </w:r>
    </w:p>
    <w:p w:rsidR="00431A5F" w:rsidRDefault="00BA55C8" w:rsidP="00527605">
      <w:pPr>
        <w:spacing w:line="276" w:lineRule="auto"/>
        <w:jc w:val="both"/>
        <w:rPr>
          <w:rFonts w:asciiTheme="minorHAnsi" w:hAnsiTheme="minorHAnsi"/>
          <w:b w:val="0"/>
          <w:bCs/>
          <w:iCs/>
          <w:color w:val="auto"/>
          <w:sz w:val="24"/>
          <w:szCs w:val="24"/>
        </w:rPr>
      </w:pP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Ciklus</w:t>
      </w:r>
      <w:r w:rsidR="00527605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izgradnje 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sunčanih elektrana</w:t>
      </w:r>
      <w:r w:rsidR="00431A5F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važan je dio obnovljivog scenarija Hrvatske elektroprivrede koji do 2030. godine planira </w:t>
      </w:r>
      <w:r w:rsidR="00AE056E" w:rsidRPr="00431A5F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za 50 posto</w:t>
      </w:r>
      <w:r w:rsidR="00AE056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</w:t>
      </w:r>
      <w:r w:rsidR="00431A5F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poveća</w:t>
      </w:r>
      <w:r w:rsidR="00AE056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ti</w:t>
      </w:r>
      <w:r w:rsidR="00431A5F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</w:t>
      </w:r>
      <w:r w:rsidR="00431A5F" w:rsidRPr="00431A5F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udjel </w:t>
      </w:r>
      <w:r w:rsidR="00431A5F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obnovljivih izvora</w:t>
      </w:r>
      <w:r w:rsidR="00431A5F" w:rsidRPr="00431A5F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u </w:t>
      </w:r>
      <w:r w:rsidR="00AE056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vlastitoj </w:t>
      </w:r>
      <w:r w:rsidR="00431A5F" w:rsidRPr="00431A5F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proizvodnji </w:t>
      </w:r>
      <w:r w:rsidR="00AE056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električne energije</w:t>
      </w:r>
      <w:r w:rsidR="00431A5F" w:rsidRPr="00431A5F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.</w:t>
      </w:r>
      <w:r w:rsidR="00AE056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U razdoblju od 2019. do danas HEP je pustio u rad ili je pred dovršetkom izgradnje sedam</w:t>
      </w:r>
      <w:r w:rsidR="00AE056E" w:rsidRPr="00AE056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sunčanih elektrana</w:t>
      </w:r>
      <w:r w:rsidR="003922FB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,</w:t>
      </w:r>
      <w:r w:rsidR="00AE056E" w:rsidRPr="00AE056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ukupne snage 23 megavata i vrijednosti </w:t>
      </w:r>
      <w:r w:rsidR="00E426E6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oko </w:t>
      </w:r>
      <w:r w:rsidR="00AE056E" w:rsidRPr="00AE056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200 milijuna kuna.</w:t>
      </w:r>
    </w:p>
    <w:p w:rsidR="00B836D6" w:rsidRDefault="00B836D6" w:rsidP="00B836D6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/>
          <w:b w:val="0"/>
          <w:bCs/>
          <w:iCs/>
          <w:color w:val="auto"/>
          <w:sz w:val="24"/>
          <w:szCs w:val="24"/>
        </w:rPr>
      </w:pPr>
    </w:p>
    <w:p w:rsidR="00B836D6" w:rsidRPr="00D2182D" w:rsidRDefault="00B836D6" w:rsidP="00B836D6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D2182D">
        <w:rPr>
          <w:rFonts w:asciiTheme="minorHAnsi" w:hAnsiTheme="minorHAnsi" w:cstheme="minorHAnsi"/>
          <w:b w:val="0"/>
          <w:color w:val="404040" w:themeColor="text1" w:themeTint="BF"/>
        </w:rPr>
        <w:t>Kontakt:  Sektor za korporativne komunikacije (</w:t>
      </w:r>
      <w:hyperlink r:id="rId10" w:history="1">
        <w:r w:rsidRPr="00D2182D">
          <w:rPr>
            <w:rStyle w:val="Hyperlink"/>
            <w:rFonts w:asciiTheme="minorHAnsi" w:hAnsiTheme="minorHAnsi" w:cstheme="minorHAnsi"/>
            <w:b w:val="0"/>
          </w:rPr>
          <w:t>odnosisjavnoscu@hep.hr</w:t>
        </w:r>
      </w:hyperlink>
      <w:r w:rsidRPr="00D2182D">
        <w:rPr>
          <w:rFonts w:asciiTheme="minorHAnsi" w:hAnsiTheme="minorHAnsi" w:cstheme="minorHAnsi"/>
          <w:b w:val="0"/>
          <w:color w:val="404040" w:themeColor="text1" w:themeTint="BF"/>
        </w:rPr>
        <w:t>)</w:t>
      </w:r>
    </w:p>
    <w:p w:rsidR="00431A5F" w:rsidRDefault="00431A5F" w:rsidP="00527605">
      <w:pPr>
        <w:spacing w:line="276" w:lineRule="auto"/>
        <w:jc w:val="both"/>
        <w:rPr>
          <w:rFonts w:asciiTheme="minorHAnsi" w:hAnsiTheme="minorHAnsi"/>
          <w:b w:val="0"/>
          <w:bCs/>
          <w:iCs/>
          <w:color w:val="auto"/>
          <w:sz w:val="24"/>
          <w:szCs w:val="24"/>
        </w:rPr>
      </w:pPr>
    </w:p>
    <w:p w:rsidR="00E86E43" w:rsidRDefault="00E86E43" w:rsidP="00527605">
      <w:pPr>
        <w:spacing w:line="276" w:lineRule="auto"/>
        <w:jc w:val="both"/>
        <w:rPr>
          <w:rFonts w:asciiTheme="minorHAnsi" w:hAnsiTheme="minorHAnsi"/>
          <w:b w:val="0"/>
          <w:bCs/>
          <w:iCs/>
          <w:color w:val="auto"/>
          <w:sz w:val="24"/>
          <w:szCs w:val="24"/>
        </w:rPr>
      </w:pPr>
    </w:p>
    <w:p w:rsidR="00E86E43" w:rsidRDefault="00E86E43" w:rsidP="00527605">
      <w:pPr>
        <w:spacing w:line="276" w:lineRule="auto"/>
        <w:jc w:val="both"/>
        <w:rPr>
          <w:rFonts w:asciiTheme="minorHAnsi" w:hAnsiTheme="minorHAnsi"/>
          <w:b w:val="0"/>
          <w:bCs/>
          <w:iCs/>
          <w:color w:val="auto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6120765" cy="4078233"/>
            <wp:effectExtent l="0" t="0" r="0" b="0"/>
            <wp:docPr id="4" name="Picture 4" descr="C:\Users\lkopjar1\AppData\Local\Microsoft\Windows\Temporary Internet Files\Content.Word\Fotografi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AppData\Local\Microsoft\Windows\Temporary Internet Files\Content.Word\Fotografij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7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E43" w:rsidSect="00F54A56">
      <w:headerReference w:type="default" r:id="rId12"/>
      <w:footerReference w:type="default" r:id="rId13"/>
      <w:pgSz w:w="11906" w:h="16838"/>
      <w:pgMar w:top="1135" w:right="991" w:bottom="1417" w:left="1276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48" w:rsidRDefault="00AD0048" w:rsidP="004E7467">
      <w:r>
        <w:separator/>
      </w:r>
    </w:p>
  </w:endnote>
  <w:endnote w:type="continuationSeparator" w:id="0">
    <w:p w:rsidR="00AD0048" w:rsidRDefault="00AD0048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D6" w:rsidRDefault="00B836D6" w:rsidP="00B836D6">
    <w:pPr>
      <w:pStyle w:val="Footer"/>
      <w:jc w:val="right"/>
    </w:pPr>
    <w:r>
      <w:rPr>
        <w:noProof/>
        <w:lang w:eastAsia="hr-HR"/>
      </w:rPr>
      <w:drawing>
        <wp:inline distT="0" distB="0" distL="0" distR="0" wp14:anchorId="4347AE51" wp14:editId="2FF74493">
          <wp:extent cx="1600658" cy="675037"/>
          <wp:effectExtent l="0" t="0" r="0" b="0"/>
          <wp:docPr id="2" name="Picture 2" descr="C:\Users\abrezovnjacki\Documents\DOKUMENTI\SOLARNI DAN\final\HEP-SUNCANE-ELEKTRAN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rezovnjacki\Documents\DOKUMENTI\SOLARNI DAN\final\HEP-SUNCANE-ELEKTRANE-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96" t="34051" r="26648" b="30835"/>
                  <a:stretch/>
                </pic:blipFill>
                <pic:spPr bwMode="auto">
                  <a:xfrm>
                    <a:off x="0" y="0"/>
                    <a:ext cx="1605251" cy="6769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E6406" w:rsidRDefault="007E6406" w:rsidP="00527A7D">
    <w:pPr>
      <w:pStyle w:val="Footer"/>
      <w:jc w:val="center"/>
    </w:pPr>
  </w:p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48" w:rsidRDefault="00AD0048" w:rsidP="004E7467">
      <w:r>
        <w:separator/>
      </w:r>
    </w:p>
  </w:footnote>
  <w:footnote w:type="continuationSeparator" w:id="0">
    <w:p w:rsidR="00AD0048" w:rsidRDefault="00AD0048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36" w:rsidRDefault="00D74E3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BB6"/>
    <w:multiLevelType w:val="hybridMultilevel"/>
    <w:tmpl w:val="06380E6E"/>
    <w:lvl w:ilvl="0" w:tplc="EB3C0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CA8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861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2BD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28DA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45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828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F446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C7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12B29"/>
    <w:multiLevelType w:val="hybridMultilevel"/>
    <w:tmpl w:val="E724D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868BD"/>
    <w:multiLevelType w:val="hybridMultilevel"/>
    <w:tmpl w:val="EFECC2B8"/>
    <w:lvl w:ilvl="0" w:tplc="041A000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5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2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957" w:hanging="360"/>
      </w:pPr>
      <w:rPr>
        <w:rFonts w:ascii="Wingdings" w:hAnsi="Wingdings" w:hint="default"/>
      </w:rPr>
    </w:lvl>
  </w:abstractNum>
  <w:abstractNum w:abstractNumId="3">
    <w:nsid w:val="460D1A48"/>
    <w:multiLevelType w:val="hybridMultilevel"/>
    <w:tmpl w:val="6AC0BD58"/>
    <w:lvl w:ilvl="0" w:tplc="FE7EE85A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F405EE0"/>
    <w:multiLevelType w:val="hybridMultilevel"/>
    <w:tmpl w:val="1C8C85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016B8"/>
    <w:rsid w:val="000127DE"/>
    <w:rsid w:val="00021241"/>
    <w:rsid w:val="00025379"/>
    <w:rsid w:val="000320C0"/>
    <w:rsid w:val="000375CE"/>
    <w:rsid w:val="00042A91"/>
    <w:rsid w:val="00044537"/>
    <w:rsid w:val="00044EF2"/>
    <w:rsid w:val="00045282"/>
    <w:rsid w:val="00047098"/>
    <w:rsid w:val="00050338"/>
    <w:rsid w:val="000507AE"/>
    <w:rsid w:val="00053D0E"/>
    <w:rsid w:val="0005478B"/>
    <w:rsid w:val="0005511E"/>
    <w:rsid w:val="00061590"/>
    <w:rsid w:val="00071360"/>
    <w:rsid w:val="000838B3"/>
    <w:rsid w:val="00084EDB"/>
    <w:rsid w:val="00095BCF"/>
    <w:rsid w:val="00096ACB"/>
    <w:rsid w:val="000B2267"/>
    <w:rsid w:val="000D2A0D"/>
    <w:rsid w:val="000E0666"/>
    <w:rsid w:val="000E187B"/>
    <w:rsid w:val="000E1FFF"/>
    <w:rsid w:val="000E2618"/>
    <w:rsid w:val="001001FA"/>
    <w:rsid w:val="001064DC"/>
    <w:rsid w:val="0011743C"/>
    <w:rsid w:val="00126959"/>
    <w:rsid w:val="0013740E"/>
    <w:rsid w:val="00140E02"/>
    <w:rsid w:val="001419AF"/>
    <w:rsid w:val="001426F4"/>
    <w:rsid w:val="00147800"/>
    <w:rsid w:val="00155E02"/>
    <w:rsid w:val="0015778F"/>
    <w:rsid w:val="001601BC"/>
    <w:rsid w:val="00164F1B"/>
    <w:rsid w:val="00167F05"/>
    <w:rsid w:val="00172D03"/>
    <w:rsid w:val="00176EE4"/>
    <w:rsid w:val="00177910"/>
    <w:rsid w:val="00180D35"/>
    <w:rsid w:val="00183CB4"/>
    <w:rsid w:val="00185939"/>
    <w:rsid w:val="001864BE"/>
    <w:rsid w:val="001971D0"/>
    <w:rsid w:val="001A27A7"/>
    <w:rsid w:val="001A4AF1"/>
    <w:rsid w:val="001A6C5C"/>
    <w:rsid w:val="001A79BD"/>
    <w:rsid w:val="001B78D8"/>
    <w:rsid w:val="001B7A77"/>
    <w:rsid w:val="001C1B1E"/>
    <w:rsid w:val="001C2413"/>
    <w:rsid w:val="001C5FB5"/>
    <w:rsid w:val="001D79F1"/>
    <w:rsid w:val="001E5164"/>
    <w:rsid w:val="001E68AF"/>
    <w:rsid w:val="001F4FE5"/>
    <w:rsid w:val="001F53CD"/>
    <w:rsid w:val="0020017F"/>
    <w:rsid w:val="002003D7"/>
    <w:rsid w:val="00210CE4"/>
    <w:rsid w:val="00227604"/>
    <w:rsid w:val="00236C79"/>
    <w:rsid w:val="002371B6"/>
    <w:rsid w:val="00254732"/>
    <w:rsid w:val="00260619"/>
    <w:rsid w:val="00267764"/>
    <w:rsid w:val="00274E25"/>
    <w:rsid w:val="00276DC7"/>
    <w:rsid w:val="00280CDC"/>
    <w:rsid w:val="00285BC6"/>
    <w:rsid w:val="002A46BF"/>
    <w:rsid w:val="002A6DFA"/>
    <w:rsid w:val="002A7267"/>
    <w:rsid w:val="002B4890"/>
    <w:rsid w:val="002B5B0F"/>
    <w:rsid w:val="002C1A41"/>
    <w:rsid w:val="002C1D97"/>
    <w:rsid w:val="002E2E77"/>
    <w:rsid w:val="002E48A8"/>
    <w:rsid w:val="002F17DA"/>
    <w:rsid w:val="00303A00"/>
    <w:rsid w:val="0030596B"/>
    <w:rsid w:val="0030772F"/>
    <w:rsid w:val="00315652"/>
    <w:rsid w:val="003231ED"/>
    <w:rsid w:val="00323A29"/>
    <w:rsid w:val="00325CED"/>
    <w:rsid w:val="00326800"/>
    <w:rsid w:val="00330DB0"/>
    <w:rsid w:val="00333DDB"/>
    <w:rsid w:val="00337574"/>
    <w:rsid w:val="00342962"/>
    <w:rsid w:val="0034308D"/>
    <w:rsid w:val="00364492"/>
    <w:rsid w:val="003657FB"/>
    <w:rsid w:val="003659A9"/>
    <w:rsid w:val="0036699E"/>
    <w:rsid w:val="00366A83"/>
    <w:rsid w:val="003706DB"/>
    <w:rsid w:val="00372264"/>
    <w:rsid w:val="003821B4"/>
    <w:rsid w:val="0038660D"/>
    <w:rsid w:val="00391720"/>
    <w:rsid w:val="003922FB"/>
    <w:rsid w:val="003948E3"/>
    <w:rsid w:val="003A4EF1"/>
    <w:rsid w:val="003B050B"/>
    <w:rsid w:val="003B16F1"/>
    <w:rsid w:val="003C036F"/>
    <w:rsid w:val="003C4B0D"/>
    <w:rsid w:val="003D12E8"/>
    <w:rsid w:val="003E6D1E"/>
    <w:rsid w:val="003F2564"/>
    <w:rsid w:val="003F3A79"/>
    <w:rsid w:val="00404AFE"/>
    <w:rsid w:val="00405993"/>
    <w:rsid w:val="00411246"/>
    <w:rsid w:val="00424D08"/>
    <w:rsid w:val="0042625A"/>
    <w:rsid w:val="0042747D"/>
    <w:rsid w:val="00430AF5"/>
    <w:rsid w:val="004312F6"/>
    <w:rsid w:val="00431A5F"/>
    <w:rsid w:val="0043446F"/>
    <w:rsid w:val="00443E3C"/>
    <w:rsid w:val="00450853"/>
    <w:rsid w:val="00452659"/>
    <w:rsid w:val="00463701"/>
    <w:rsid w:val="00465D96"/>
    <w:rsid w:val="004729DD"/>
    <w:rsid w:val="00492104"/>
    <w:rsid w:val="00494DD7"/>
    <w:rsid w:val="004972BC"/>
    <w:rsid w:val="0049786C"/>
    <w:rsid w:val="004A35AF"/>
    <w:rsid w:val="004B0775"/>
    <w:rsid w:val="004B4B65"/>
    <w:rsid w:val="004C5B88"/>
    <w:rsid w:val="004D4674"/>
    <w:rsid w:val="004E07B8"/>
    <w:rsid w:val="004E7467"/>
    <w:rsid w:val="004F01C3"/>
    <w:rsid w:val="004F18E1"/>
    <w:rsid w:val="004F598B"/>
    <w:rsid w:val="005118E3"/>
    <w:rsid w:val="0051671C"/>
    <w:rsid w:val="00517476"/>
    <w:rsid w:val="0052243B"/>
    <w:rsid w:val="005239A1"/>
    <w:rsid w:val="00527605"/>
    <w:rsid w:val="00527A7D"/>
    <w:rsid w:val="00535567"/>
    <w:rsid w:val="005424E7"/>
    <w:rsid w:val="00542F7F"/>
    <w:rsid w:val="005451E7"/>
    <w:rsid w:val="00550C55"/>
    <w:rsid w:val="005535BD"/>
    <w:rsid w:val="00554851"/>
    <w:rsid w:val="00566A74"/>
    <w:rsid w:val="00573B44"/>
    <w:rsid w:val="00582A70"/>
    <w:rsid w:val="0058300E"/>
    <w:rsid w:val="005836EA"/>
    <w:rsid w:val="00586631"/>
    <w:rsid w:val="005A1D22"/>
    <w:rsid w:val="005A24FA"/>
    <w:rsid w:val="005A386E"/>
    <w:rsid w:val="005B6CF2"/>
    <w:rsid w:val="005C11EA"/>
    <w:rsid w:val="005C7AAC"/>
    <w:rsid w:val="005D5695"/>
    <w:rsid w:val="005E0E29"/>
    <w:rsid w:val="005E1AB5"/>
    <w:rsid w:val="005F3FC6"/>
    <w:rsid w:val="00603BA7"/>
    <w:rsid w:val="00604847"/>
    <w:rsid w:val="00613BCD"/>
    <w:rsid w:val="006164B7"/>
    <w:rsid w:val="006173E0"/>
    <w:rsid w:val="0063518E"/>
    <w:rsid w:val="006361F3"/>
    <w:rsid w:val="006368F5"/>
    <w:rsid w:val="006462E8"/>
    <w:rsid w:val="00667581"/>
    <w:rsid w:val="006732C7"/>
    <w:rsid w:val="00677F5F"/>
    <w:rsid w:val="00691235"/>
    <w:rsid w:val="00692623"/>
    <w:rsid w:val="00694E7E"/>
    <w:rsid w:val="006955F9"/>
    <w:rsid w:val="006A2008"/>
    <w:rsid w:val="006A4C51"/>
    <w:rsid w:val="006B3A2E"/>
    <w:rsid w:val="006C437B"/>
    <w:rsid w:val="006D7877"/>
    <w:rsid w:val="006E10ED"/>
    <w:rsid w:val="006E132D"/>
    <w:rsid w:val="006E3C90"/>
    <w:rsid w:val="006F38EA"/>
    <w:rsid w:val="006F5978"/>
    <w:rsid w:val="00702D82"/>
    <w:rsid w:val="00704714"/>
    <w:rsid w:val="00706ECE"/>
    <w:rsid w:val="00713A88"/>
    <w:rsid w:val="00717918"/>
    <w:rsid w:val="00717FD4"/>
    <w:rsid w:val="0072495B"/>
    <w:rsid w:val="007254F4"/>
    <w:rsid w:val="00725739"/>
    <w:rsid w:val="0073131E"/>
    <w:rsid w:val="00736250"/>
    <w:rsid w:val="0073656A"/>
    <w:rsid w:val="00750A9E"/>
    <w:rsid w:val="00754042"/>
    <w:rsid w:val="00754A5C"/>
    <w:rsid w:val="007564EB"/>
    <w:rsid w:val="007566B3"/>
    <w:rsid w:val="0076694D"/>
    <w:rsid w:val="00771927"/>
    <w:rsid w:val="0077505C"/>
    <w:rsid w:val="00782167"/>
    <w:rsid w:val="007878A6"/>
    <w:rsid w:val="0079379F"/>
    <w:rsid w:val="00796303"/>
    <w:rsid w:val="007A1E34"/>
    <w:rsid w:val="007A31FC"/>
    <w:rsid w:val="007A4152"/>
    <w:rsid w:val="007B13D8"/>
    <w:rsid w:val="007B1873"/>
    <w:rsid w:val="007B1CBB"/>
    <w:rsid w:val="007B4553"/>
    <w:rsid w:val="007B476E"/>
    <w:rsid w:val="007B7F04"/>
    <w:rsid w:val="007C11EC"/>
    <w:rsid w:val="007C2FA6"/>
    <w:rsid w:val="007D33CB"/>
    <w:rsid w:val="007E42E1"/>
    <w:rsid w:val="007E6406"/>
    <w:rsid w:val="00801C8C"/>
    <w:rsid w:val="00805BDA"/>
    <w:rsid w:val="00816A45"/>
    <w:rsid w:val="008229BA"/>
    <w:rsid w:val="0082775D"/>
    <w:rsid w:val="00835415"/>
    <w:rsid w:val="008430DD"/>
    <w:rsid w:val="00844B6C"/>
    <w:rsid w:val="00852C90"/>
    <w:rsid w:val="00860D1C"/>
    <w:rsid w:val="00871E64"/>
    <w:rsid w:val="00873C4C"/>
    <w:rsid w:val="0087615A"/>
    <w:rsid w:val="00884CC2"/>
    <w:rsid w:val="0089039D"/>
    <w:rsid w:val="008928A5"/>
    <w:rsid w:val="008962AB"/>
    <w:rsid w:val="008972D7"/>
    <w:rsid w:val="008A50D3"/>
    <w:rsid w:val="008A736D"/>
    <w:rsid w:val="008C7383"/>
    <w:rsid w:val="008C7E44"/>
    <w:rsid w:val="008D3037"/>
    <w:rsid w:val="008F15C8"/>
    <w:rsid w:val="009039CB"/>
    <w:rsid w:val="009072F2"/>
    <w:rsid w:val="00910537"/>
    <w:rsid w:val="0091351B"/>
    <w:rsid w:val="009158E2"/>
    <w:rsid w:val="009169DA"/>
    <w:rsid w:val="00917E38"/>
    <w:rsid w:val="00925D36"/>
    <w:rsid w:val="00930778"/>
    <w:rsid w:val="0094249F"/>
    <w:rsid w:val="009426D3"/>
    <w:rsid w:val="00951A1B"/>
    <w:rsid w:val="00954024"/>
    <w:rsid w:val="00963EF5"/>
    <w:rsid w:val="00966FA4"/>
    <w:rsid w:val="0096796E"/>
    <w:rsid w:val="00973C68"/>
    <w:rsid w:val="00974407"/>
    <w:rsid w:val="00975C1F"/>
    <w:rsid w:val="00983479"/>
    <w:rsid w:val="00985B6C"/>
    <w:rsid w:val="00991AB3"/>
    <w:rsid w:val="009922C6"/>
    <w:rsid w:val="009A088C"/>
    <w:rsid w:val="009A25E1"/>
    <w:rsid w:val="009A5479"/>
    <w:rsid w:val="009B2A81"/>
    <w:rsid w:val="009B6635"/>
    <w:rsid w:val="009C3DAB"/>
    <w:rsid w:val="009D1AFF"/>
    <w:rsid w:val="009D3A78"/>
    <w:rsid w:val="009E1081"/>
    <w:rsid w:val="009E5942"/>
    <w:rsid w:val="009F67FD"/>
    <w:rsid w:val="00A01C2B"/>
    <w:rsid w:val="00A065F9"/>
    <w:rsid w:val="00A06F86"/>
    <w:rsid w:val="00A07807"/>
    <w:rsid w:val="00A10E8F"/>
    <w:rsid w:val="00A2127D"/>
    <w:rsid w:val="00A23BC2"/>
    <w:rsid w:val="00A24118"/>
    <w:rsid w:val="00A25871"/>
    <w:rsid w:val="00A327FA"/>
    <w:rsid w:val="00A33ED1"/>
    <w:rsid w:val="00A40EB5"/>
    <w:rsid w:val="00A46B32"/>
    <w:rsid w:val="00A5587F"/>
    <w:rsid w:val="00A56B79"/>
    <w:rsid w:val="00A62C13"/>
    <w:rsid w:val="00A6662A"/>
    <w:rsid w:val="00A70E1A"/>
    <w:rsid w:val="00A819F8"/>
    <w:rsid w:val="00A84CD2"/>
    <w:rsid w:val="00A9472E"/>
    <w:rsid w:val="00A94ED3"/>
    <w:rsid w:val="00AA1B5D"/>
    <w:rsid w:val="00AA52C2"/>
    <w:rsid w:val="00AA76CF"/>
    <w:rsid w:val="00AB1506"/>
    <w:rsid w:val="00AC4C86"/>
    <w:rsid w:val="00AC72FC"/>
    <w:rsid w:val="00AD0048"/>
    <w:rsid w:val="00AE056E"/>
    <w:rsid w:val="00AE0D1C"/>
    <w:rsid w:val="00AE4435"/>
    <w:rsid w:val="00AE53DF"/>
    <w:rsid w:val="00B00654"/>
    <w:rsid w:val="00B01A9F"/>
    <w:rsid w:val="00B1077F"/>
    <w:rsid w:val="00B22329"/>
    <w:rsid w:val="00B231C6"/>
    <w:rsid w:val="00B345D3"/>
    <w:rsid w:val="00B44F2D"/>
    <w:rsid w:val="00B4703B"/>
    <w:rsid w:val="00B52384"/>
    <w:rsid w:val="00B548C6"/>
    <w:rsid w:val="00B77455"/>
    <w:rsid w:val="00B836D6"/>
    <w:rsid w:val="00B8694C"/>
    <w:rsid w:val="00B8781D"/>
    <w:rsid w:val="00B90635"/>
    <w:rsid w:val="00B9275B"/>
    <w:rsid w:val="00B93A76"/>
    <w:rsid w:val="00BA55C8"/>
    <w:rsid w:val="00BB26BC"/>
    <w:rsid w:val="00BD509B"/>
    <w:rsid w:val="00BD609E"/>
    <w:rsid w:val="00BE1A4A"/>
    <w:rsid w:val="00BE464D"/>
    <w:rsid w:val="00BF01C4"/>
    <w:rsid w:val="00BF4A3C"/>
    <w:rsid w:val="00BF7BFA"/>
    <w:rsid w:val="00C11426"/>
    <w:rsid w:val="00C50CC9"/>
    <w:rsid w:val="00C51890"/>
    <w:rsid w:val="00C527A4"/>
    <w:rsid w:val="00C56A3C"/>
    <w:rsid w:val="00C75C62"/>
    <w:rsid w:val="00C81F28"/>
    <w:rsid w:val="00C83D05"/>
    <w:rsid w:val="00C84A6A"/>
    <w:rsid w:val="00C84A8E"/>
    <w:rsid w:val="00CA619D"/>
    <w:rsid w:val="00CB4679"/>
    <w:rsid w:val="00CB46AC"/>
    <w:rsid w:val="00CB4D7F"/>
    <w:rsid w:val="00CB5B52"/>
    <w:rsid w:val="00CD0389"/>
    <w:rsid w:val="00CD1D79"/>
    <w:rsid w:val="00CD36CB"/>
    <w:rsid w:val="00CD62BE"/>
    <w:rsid w:val="00CE7481"/>
    <w:rsid w:val="00CF363B"/>
    <w:rsid w:val="00CF6866"/>
    <w:rsid w:val="00D17645"/>
    <w:rsid w:val="00D24731"/>
    <w:rsid w:val="00D27117"/>
    <w:rsid w:val="00D27367"/>
    <w:rsid w:val="00D27732"/>
    <w:rsid w:val="00D277C5"/>
    <w:rsid w:val="00D411B7"/>
    <w:rsid w:val="00D41BF3"/>
    <w:rsid w:val="00D44599"/>
    <w:rsid w:val="00D542D7"/>
    <w:rsid w:val="00D65B27"/>
    <w:rsid w:val="00D7218C"/>
    <w:rsid w:val="00D738DD"/>
    <w:rsid w:val="00D74A13"/>
    <w:rsid w:val="00D74E36"/>
    <w:rsid w:val="00D76BE0"/>
    <w:rsid w:val="00DA1D29"/>
    <w:rsid w:val="00DA46DD"/>
    <w:rsid w:val="00DA634A"/>
    <w:rsid w:val="00DB1A9D"/>
    <w:rsid w:val="00DC317C"/>
    <w:rsid w:val="00DC3938"/>
    <w:rsid w:val="00DD0D70"/>
    <w:rsid w:val="00DD2ABB"/>
    <w:rsid w:val="00DE3721"/>
    <w:rsid w:val="00DF63D4"/>
    <w:rsid w:val="00E01F91"/>
    <w:rsid w:val="00E12038"/>
    <w:rsid w:val="00E1430B"/>
    <w:rsid w:val="00E1658C"/>
    <w:rsid w:val="00E20A0C"/>
    <w:rsid w:val="00E22651"/>
    <w:rsid w:val="00E426E6"/>
    <w:rsid w:val="00E4638A"/>
    <w:rsid w:val="00E564EB"/>
    <w:rsid w:val="00E57A0C"/>
    <w:rsid w:val="00E619C8"/>
    <w:rsid w:val="00E711A3"/>
    <w:rsid w:val="00E86E43"/>
    <w:rsid w:val="00E95B78"/>
    <w:rsid w:val="00E95FFE"/>
    <w:rsid w:val="00E97B76"/>
    <w:rsid w:val="00EA542F"/>
    <w:rsid w:val="00EB4273"/>
    <w:rsid w:val="00EB7C69"/>
    <w:rsid w:val="00EC483A"/>
    <w:rsid w:val="00EC6D30"/>
    <w:rsid w:val="00EC6E89"/>
    <w:rsid w:val="00EE010D"/>
    <w:rsid w:val="00F07A7E"/>
    <w:rsid w:val="00F15246"/>
    <w:rsid w:val="00F227DD"/>
    <w:rsid w:val="00F24E97"/>
    <w:rsid w:val="00F31E25"/>
    <w:rsid w:val="00F41591"/>
    <w:rsid w:val="00F41F30"/>
    <w:rsid w:val="00F477D0"/>
    <w:rsid w:val="00F50FB5"/>
    <w:rsid w:val="00F52F32"/>
    <w:rsid w:val="00F5377C"/>
    <w:rsid w:val="00F53983"/>
    <w:rsid w:val="00F54A56"/>
    <w:rsid w:val="00F54FF7"/>
    <w:rsid w:val="00F56D2A"/>
    <w:rsid w:val="00F6661E"/>
    <w:rsid w:val="00F75774"/>
    <w:rsid w:val="00F80913"/>
    <w:rsid w:val="00F8108B"/>
    <w:rsid w:val="00F82A92"/>
    <w:rsid w:val="00F83EF4"/>
    <w:rsid w:val="00F9299B"/>
    <w:rsid w:val="00F9613D"/>
    <w:rsid w:val="00FA524B"/>
    <w:rsid w:val="00FA6855"/>
    <w:rsid w:val="00FB0ABD"/>
    <w:rsid w:val="00FB263D"/>
    <w:rsid w:val="00FC7817"/>
    <w:rsid w:val="00FC7B59"/>
    <w:rsid w:val="00FD2662"/>
    <w:rsid w:val="00FE1D4D"/>
    <w:rsid w:val="00FE231E"/>
    <w:rsid w:val="00FE7765"/>
    <w:rsid w:val="00FF0086"/>
    <w:rsid w:val="00FF0873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  <w:style w:type="paragraph" w:customStyle="1" w:styleId="Footer1">
    <w:name w:val="Footer1"/>
    <w:basedOn w:val="Normal"/>
    <w:link w:val="FOOTERChar0"/>
    <w:qFormat/>
    <w:rsid w:val="007B1CBB"/>
    <w:rPr>
      <w:rFonts w:eastAsiaTheme="minorHAnsi"/>
      <w:color w:val="7F7F7F" w:themeColor="text1" w:themeTint="80"/>
      <w:sz w:val="16"/>
      <w:szCs w:val="16"/>
      <w:lang w:val="en-US"/>
    </w:rPr>
  </w:style>
  <w:style w:type="character" w:customStyle="1" w:styleId="FOOTERChar0">
    <w:name w:val="FOOTER Char"/>
    <w:basedOn w:val="DefaultParagraphFont"/>
    <w:link w:val="Footer1"/>
    <w:rsid w:val="007B1CBB"/>
    <w:rPr>
      <w:rFonts w:ascii="Arial" w:hAnsi="Arial" w:cs="Arial"/>
      <w:b/>
      <w:color w:val="7F7F7F" w:themeColor="text1" w:themeTint="8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  <w:style w:type="paragraph" w:customStyle="1" w:styleId="Footer1">
    <w:name w:val="Footer1"/>
    <w:basedOn w:val="Normal"/>
    <w:link w:val="FOOTERChar0"/>
    <w:qFormat/>
    <w:rsid w:val="007B1CBB"/>
    <w:rPr>
      <w:rFonts w:eastAsiaTheme="minorHAnsi"/>
      <w:color w:val="7F7F7F" w:themeColor="text1" w:themeTint="80"/>
      <w:sz w:val="16"/>
      <w:szCs w:val="16"/>
      <w:lang w:val="en-US"/>
    </w:rPr>
  </w:style>
  <w:style w:type="character" w:customStyle="1" w:styleId="FOOTERChar0">
    <w:name w:val="FOOTER Char"/>
    <w:basedOn w:val="DefaultParagraphFont"/>
    <w:link w:val="Footer1"/>
    <w:rsid w:val="007B1CBB"/>
    <w:rPr>
      <w:rFonts w:ascii="Arial" w:hAnsi="Arial" w:cs="Arial"/>
      <w:b/>
      <w:color w:val="7F7F7F" w:themeColor="text1" w:themeTint="8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306">
          <w:marLeft w:val="965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dnosisjavnoscu@hep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B3DA-D95A-45DF-978D-59DF7AB0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7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5</cp:revision>
  <cp:lastPrinted>2021-10-11T10:38:00Z</cp:lastPrinted>
  <dcterms:created xsi:type="dcterms:W3CDTF">2021-10-11T10:05:00Z</dcterms:created>
  <dcterms:modified xsi:type="dcterms:W3CDTF">2021-12-06T10:28:00Z</dcterms:modified>
</cp:coreProperties>
</file>